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A8" w:rsidRPr="00BF79FA" w:rsidRDefault="00FF7FA8" w:rsidP="00FF7FA8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ПЛАТНЫХ УСЛУГ НАСЕЛЕНИЮ</w:t>
      </w:r>
    </w:p>
    <w:p w:rsidR="00FF7FA8" w:rsidRDefault="00FF7FA8" w:rsidP="00FF7FA8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</w:p>
    <w:p w:rsidR="00FF7FA8" w:rsidRPr="00BF79FA" w:rsidRDefault="00FF7FA8" w:rsidP="00FF7FA8">
      <w:pPr>
        <w:spacing w:after="12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 w:cs="Times New Roman"/>
        </w:rPr>
        <w:t>В январе-</w:t>
      </w:r>
      <w:r>
        <w:rPr>
          <w:rFonts w:ascii="Times New Roman" w:hAnsi="Times New Roman" w:cs="Times New Roman"/>
        </w:rPr>
        <w:t>июн</w:t>
      </w:r>
      <w:r w:rsidRPr="00BF79FA">
        <w:rPr>
          <w:rFonts w:ascii="Times New Roman" w:hAnsi="Times New Roman" w:cs="Times New Roman"/>
        </w:rPr>
        <w:t xml:space="preserve">е 2020 года населению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Москвы</w:t>
      </w:r>
      <w:r w:rsidRPr="00BF79FA">
        <w:rPr>
          <w:rFonts w:ascii="Times New Roman" w:hAnsi="Times New Roman" w:cs="Times New Roman"/>
        </w:rPr>
        <w:t xml:space="preserve"> по предварительным данным было оказано платных услуг на </w:t>
      </w:r>
      <w:r>
        <w:rPr>
          <w:rFonts w:ascii="Times New Roman" w:hAnsi="Times New Roman" w:cs="Times New Roman"/>
        </w:rPr>
        <w:t>696,4</w:t>
      </w:r>
      <w:r w:rsidRPr="00BF79FA">
        <w:rPr>
          <w:rFonts w:ascii="Times New Roman" w:hAnsi="Times New Roman" w:cs="Times New Roman"/>
        </w:rPr>
        <w:t xml:space="preserve"> миллиарда рублей, что составило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72,5</w:t>
      </w:r>
      <w:r w:rsidRPr="00BF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процента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(в сопоставимых ценах) к соответствующему периоду 2019 года.</w:t>
      </w: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4195"/>
        <w:gridCol w:w="2835"/>
        <w:gridCol w:w="2241"/>
      </w:tblGrid>
      <w:tr w:rsidR="00FF7FA8" w:rsidTr="00FC54CD">
        <w:trPr>
          <w:trHeight w:val="113"/>
          <w:jc w:val="center"/>
        </w:trPr>
        <w:tc>
          <w:tcPr>
            <w:tcW w:w="4195" w:type="dxa"/>
            <w:vMerge w:val="restart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gridSpan w:val="2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79FA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  <w:proofErr w:type="gramStart"/>
            <w:r w:rsidRPr="00BF79F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F79F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Merge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соответствующему периоду предыдущего года</w:t>
            </w:r>
          </w:p>
        </w:tc>
        <w:tc>
          <w:tcPr>
            <w:tcW w:w="2241" w:type="dxa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 xml:space="preserve">предыдущему периоду 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9271" w:type="dxa"/>
            <w:gridSpan w:val="3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F79FA">
              <w:rPr>
                <w:rFonts w:ascii="Times New Roman" w:hAnsi="Times New Roman" w:cs="Times New Roman"/>
                <w:b/>
              </w:rPr>
              <w:t>2020 год</w:t>
            </w:r>
            <w:proofErr w:type="gramStart"/>
            <w:r w:rsidR="00FC54CD" w:rsidRPr="00FC54C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105,0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87,3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104,6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95,3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86,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88,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98,2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73.5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57,3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FD6A60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  <w:proofErr w:type="gramStart"/>
            <w:r w:rsidR="00FC54CD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44,7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503AAD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48,6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115,9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2835" w:type="dxa"/>
            <w:vAlign w:val="bottom"/>
          </w:tcPr>
          <w:p w:rsidR="00FF7FA8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72.5</w:t>
            </w:r>
          </w:p>
        </w:tc>
        <w:tc>
          <w:tcPr>
            <w:tcW w:w="2241" w:type="dxa"/>
            <w:vAlign w:val="bottom"/>
          </w:tcPr>
          <w:p w:rsidR="00FF7FA8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</w:tbl>
    <w:p w:rsidR="00FF7FA8" w:rsidRDefault="00FF7FA8" w:rsidP="00FF7FA8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</w:p>
    <w:p w:rsidR="00FF7FA8" w:rsidRPr="00BF79FA" w:rsidRDefault="00FF7FA8" w:rsidP="00FF7F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платных услуг населению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FF7FA8" w:rsidRDefault="00FF7FA8" w:rsidP="00FF7FA8">
      <w:pPr>
        <w:pBdr>
          <w:bottom w:val="single" w:sz="12" w:space="1" w:color="auto"/>
        </w:pBd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7031" cy="2971800"/>
            <wp:effectExtent l="0" t="0" r="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C54CD" w:rsidRPr="00FC54CD" w:rsidRDefault="00FC54CD" w:rsidP="00764A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3436">
        <w:rPr>
          <w:rFonts w:ascii="Arial" w:hAnsi="Arial" w:cs="Arial"/>
          <w:sz w:val="16"/>
          <w:szCs w:val="16"/>
          <w:vertAlign w:val="superscript"/>
        </w:rPr>
        <w:t>1</w:t>
      </w:r>
      <w:r w:rsidRPr="00FC54CD">
        <w:rPr>
          <w:rFonts w:ascii="Arial" w:hAnsi="Arial" w:cs="Arial"/>
          <w:sz w:val="16"/>
          <w:szCs w:val="16"/>
        </w:rPr>
        <w:t xml:space="preserve"> </w:t>
      </w:r>
      <w:r w:rsidRPr="00FC54CD">
        <w:rPr>
          <w:rFonts w:ascii="Arial" w:hAnsi="Arial" w:cs="Arial"/>
          <w:sz w:val="18"/>
          <w:szCs w:val="18"/>
        </w:rPr>
        <w:t>Оперативные</w:t>
      </w:r>
      <w:r w:rsidRPr="00FC54C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C54CD">
        <w:rPr>
          <w:rFonts w:ascii="Arial" w:hAnsi="Arial" w:cs="Arial"/>
          <w:sz w:val="18"/>
          <w:szCs w:val="18"/>
        </w:rPr>
        <w:t xml:space="preserve">данные за январь-апрель  2020 г. уточнены на основании итогов годовых статистических </w:t>
      </w:r>
      <w:r w:rsidR="00764AD4">
        <w:rPr>
          <w:rFonts w:ascii="Arial" w:hAnsi="Arial" w:cs="Arial"/>
          <w:sz w:val="18"/>
          <w:szCs w:val="18"/>
        </w:rPr>
        <w:t xml:space="preserve">             </w:t>
      </w:r>
      <w:r w:rsidRPr="00FC54CD">
        <w:rPr>
          <w:rFonts w:ascii="Arial" w:hAnsi="Arial" w:cs="Arial"/>
          <w:sz w:val="18"/>
          <w:szCs w:val="18"/>
        </w:rPr>
        <w:t>обследований хозяйствующих субъектов</w:t>
      </w:r>
    </w:p>
    <w:p w:rsidR="00FF7FA8" w:rsidRPr="00FC54CD" w:rsidRDefault="00FC54CD" w:rsidP="00FF7FA8">
      <w:pPr>
        <w:pStyle w:val="a3"/>
        <w:rPr>
          <w:sz w:val="18"/>
          <w:szCs w:val="18"/>
        </w:rPr>
      </w:pPr>
      <w:r w:rsidRPr="00FC54CD">
        <w:rPr>
          <w:rStyle w:val="a5"/>
          <w:rFonts w:ascii="Arial" w:hAnsi="Arial" w:cs="Arial"/>
          <w:sz w:val="18"/>
          <w:szCs w:val="18"/>
        </w:rPr>
        <w:t xml:space="preserve">2 </w:t>
      </w:r>
      <w:r w:rsidRPr="00FC54CD">
        <w:rPr>
          <w:rFonts w:ascii="Arial" w:hAnsi="Arial" w:cs="Arial"/>
          <w:sz w:val="18"/>
          <w:szCs w:val="18"/>
        </w:rPr>
        <w:t>П</w:t>
      </w:r>
      <w:r w:rsidR="00FF7FA8" w:rsidRPr="00FC54CD">
        <w:rPr>
          <w:rFonts w:ascii="Arial" w:hAnsi="Arial" w:cs="Arial"/>
          <w:sz w:val="18"/>
          <w:szCs w:val="18"/>
        </w:rPr>
        <w:t>оказатели  изменены за счет уточнения респондентами предварительных данных за май в отчете за июнь</w:t>
      </w:r>
    </w:p>
    <w:p w:rsidR="00FF7FA8" w:rsidRDefault="00FF7FA8" w:rsidP="00FF7FA8">
      <w:pPr>
        <w:spacing w:line="288" w:lineRule="auto"/>
        <w:ind w:firstLine="709"/>
        <w:rPr>
          <w:rFonts w:ascii="Arial" w:hAnsi="Arial" w:cs="Arial"/>
        </w:rPr>
      </w:pPr>
    </w:p>
    <w:p w:rsidR="00FF7FA8" w:rsidRPr="00BF79FA" w:rsidRDefault="00FF7FA8" w:rsidP="00FF7FA8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Объем платных услуг населению по видам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2552"/>
        <w:gridCol w:w="2268"/>
        <w:gridCol w:w="2410"/>
        <w:gridCol w:w="2551"/>
      </w:tblGrid>
      <w:tr w:rsidR="00FF7FA8" w:rsidTr="00FC54CD">
        <w:trPr>
          <w:trHeight w:val="20"/>
        </w:trPr>
        <w:tc>
          <w:tcPr>
            <w:tcW w:w="2552" w:type="dxa"/>
            <w:vMerge w:val="restart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июнь </w:t>
            </w:r>
            <w:r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2020 года</w:t>
            </w:r>
          </w:p>
        </w:tc>
      </w:tr>
      <w:tr w:rsidR="00FF7FA8" w:rsidTr="00FC54CD">
        <w:trPr>
          <w:trHeight w:val="20"/>
        </w:trPr>
        <w:tc>
          <w:tcPr>
            <w:tcW w:w="2552" w:type="dxa"/>
            <w:vMerge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миллионов рублей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сопоставимых ценах    </w:t>
            </w:r>
            <w:proofErr w:type="gramStart"/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</w:t>
            </w:r>
          </w:p>
        </w:tc>
      </w:tr>
      <w:tr w:rsidR="00FF7FA8" w:rsidTr="00FC54CD">
        <w:trPr>
          <w:trHeight w:val="20"/>
        </w:trPr>
        <w:tc>
          <w:tcPr>
            <w:tcW w:w="2552" w:type="dxa"/>
            <w:vMerge/>
            <w:shd w:val="clear" w:color="auto" w:fill="B6DDE8" w:themeFill="accent5" w:themeFillTint="66"/>
          </w:tcPr>
          <w:p w:rsidR="00FF7FA8" w:rsidRDefault="00FF7FA8" w:rsidP="00FC54C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</w:rPr>
            </w:pPr>
          </w:p>
        </w:tc>
        <w:tc>
          <w:tcPr>
            <w:tcW w:w="2268" w:type="dxa"/>
            <w:vMerge/>
            <w:shd w:val="clear" w:color="auto" w:fill="B6DDE8" w:themeFill="accent5" w:themeFillTint="66"/>
          </w:tcPr>
          <w:p w:rsidR="00FF7FA8" w:rsidRDefault="00FF7FA8" w:rsidP="00FC54C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оответствующему периоду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предыду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щего 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итогу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Платные услуги</w:t>
            </w:r>
          </w:p>
        </w:tc>
        <w:tc>
          <w:tcPr>
            <w:tcW w:w="2268" w:type="dxa"/>
            <w:vAlign w:val="bottom"/>
          </w:tcPr>
          <w:p w:rsidR="00FF7FA8" w:rsidRPr="00BF79FA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696446,3</w:t>
            </w:r>
          </w:p>
        </w:tc>
        <w:tc>
          <w:tcPr>
            <w:tcW w:w="2410" w:type="dxa"/>
            <w:vAlign w:val="bottom"/>
          </w:tcPr>
          <w:p w:rsidR="00FF7FA8" w:rsidRPr="00BF79FA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72,5</w:t>
            </w:r>
          </w:p>
        </w:tc>
        <w:tc>
          <w:tcPr>
            <w:tcW w:w="2551" w:type="dxa"/>
            <w:vAlign w:val="bottom"/>
          </w:tcPr>
          <w:p w:rsidR="00FF7FA8" w:rsidRPr="00BF79FA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 w:rsidRPr="00BF79FA">
              <w:rPr>
                <w:rFonts w:ascii="Arial" w:eastAsia="Times New Roman" w:hAnsi="Arial" w:cs="Arial"/>
                <w:bCs/>
                <w:sz w:val="18"/>
                <w:szCs w:val="21"/>
              </w:rPr>
              <w:t>100,0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FF7FA8" w:rsidRPr="00BF79FA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FF7FA8" w:rsidRPr="00BF79FA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FF7FA8" w:rsidRPr="00BF79FA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бытовые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35105,3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89,9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5,0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транспортные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191120,0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51,4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27,4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почтовой связи,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курьерские услуги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2855,9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73,8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0,4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телекоммуникационные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136217,0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spacing w:before="108" w:after="108"/>
              <w:ind w:left="227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92,6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spacing w:before="108" w:after="108"/>
              <w:ind w:left="227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19,5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коммунальные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87844,3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81,2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12,6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жилищные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44504,6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96,2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6,4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учреждений культуры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12550,3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56,0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1,8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4252,4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52,8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0,6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гостиниц и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аналогичные услуги по предоставлению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временного жилья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10416,1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46,3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1,5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физической культуры и спорта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5984.9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59,7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0,8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медицинские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52283,4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80,6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7,5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специализированных коллективных средств размещения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476,3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48,4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</w:t>
            </w:r>
            <w:r w:rsidRPr="00881552">
              <w:rPr>
                <w:rFonts w:ascii="Arial" w:eastAsia="Times New Roman" w:hAnsi="Arial" w:cs="Arial"/>
                <w:bCs/>
                <w:sz w:val="18"/>
                <w:szCs w:val="21"/>
              </w:rPr>
              <w:t>,1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из них: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санаторно-курортных организаций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450,2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57,5</w:t>
            </w:r>
          </w:p>
        </w:tc>
        <w:tc>
          <w:tcPr>
            <w:tcW w:w="2551" w:type="dxa"/>
            <w:vAlign w:val="bottom"/>
          </w:tcPr>
          <w:p w:rsidR="00FF7FA8" w:rsidRPr="00881552" w:rsidRDefault="00896614" w:rsidP="009D1817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</w:t>
            </w:r>
            <w:r w:rsidR="009D1817">
              <w:rPr>
                <w:rFonts w:ascii="Arial" w:eastAsia="Times New Roman" w:hAnsi="Arial" w:cs="Arial"/>
                <w:bCs/>
                <w:sz w:val="18"/>
                <w:szCs w:val="21"/>
              </w:rPr>
              <w:t>,</w:t>
            </w: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ветеринарные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649,0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61,6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юридические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9453,4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100,4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1,4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системы образования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64199,0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99,4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</w:t>
            </w:r>
            <w:r w:rsidRPr="00881552">
              <w:rPr>
                <w:rFonts w:ascii="Arial" w:eastAsia="Times New Roman" w:hAnsi="Arial" w:cs="Arial"/>
                <w:bCs/>
                <w:sz w:val="18"/>
                <w:szCs w:val="21"/>
              </w:rPr>
              <w:t>,</w:t>
            </w: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2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услуги, предоставляемые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гражданам пожилого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возраста и инвалидам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447,8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75,9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 w:rsidRPr="00881552">
              <w:rPr>
                <w:rFonts w:ascii="Arial" w:eastAsia="Times New Roman" w:hAnsi="Arial" w:cs="Arial"/>
                <w:bCs/>
                <w:sz w:val="18"/>
                <w:szCs w:val="21"/>
              </w:rPr>
              <w:t>0,</w:t>
            </w: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прочие виды платных услуг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38086,6</w:t>
            </w: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96,2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5,5</w:t>
            </w:r>
          </w:p>
        </w:tc>
      </w:tr>
    </w:tbl>
    <w:p w:rsidR="00FF7FA8" w:rsidRPr="001D451A" w:rsidRDefault="00FF7FA8" w:rsidP="00FF7FA8">
      <w:pPr>
        <w:pageBreakBefore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Структура платных услуг населению </w:t>
      </w: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</w:rPr>
        <w:t>в январе-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июне</w:t>
      </w: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FF7FA8" w:rsidRPr="00C42E64" w:rsidRDefault="00FF7FA8" w:rsidP="00FF7FA8">
      <w:pPr>
        <w:spacing w:line="288" w:lineRule="auto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6" cy="8071338"/>
            <wp:effectExtent l="0" t="0" r="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A8"/>
    <w:rsid w:val="00376D3F"/>
    <w:rsid w:val="00427FA8"/>
    <w:rsid w:val="004944D4"/>
    <w:rsid w:val="00764AD4"/>
    <w:rsid w:val="00896614"/>
    <w:rsid w:val="009D1817"/>
    <w:rsid w:val="00C24EC3"/>
    <w:rsid w:val="00EF40EB"/>
    <w:rsid w:val="00F03436"/>
    <w:rsid w:val="00FC54CD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F7F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F7FA8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FF7FA8"/>
    <w:rPr>
      <w:vertAlign w:val="superscript"/>
    </w:rPr>
  </w:style>
  <w:style w:type="table" w:styleId="a6">
    <w:name w:val="Table Grid"/>
    <w:basedOn w:val="a1"/>
    <w:uiPriority w:val="59"/>
    <w:rsid w:val="00FF7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FF7FA8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F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2.8971663985402733E-2"/>
          <c:y val="0.15476190476190807"/>
          <c:w val="0.95447309945151004"/>
          <c:h val="0.5737932469908222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9318686837332167E-2"/>
                  <c:y val="-5.4639948852547561E-2"/>
                </c:manualLayout>
              </c:layout>
              <c:showVal val="1"/>
            </c:dLbl>
            <c:dLbl>
              <c:idx val="1"/>
              <c:layout>
                <c:manualLayout>
                  <c:x val="-3.5181670094219887E-2"/>
                  <c:y val="-6.4407766336900277E-2"/>
                </c:manualLayout>
              </c:layout>
              <c:showVal val="1"/>
            </c:dLbl>
            <c:dLbl>
              <c:idx val="2"/>
              <c:layout>
                <c:manualLayout>
                  <c:x val="-3.9318849782574133E-2"/>
                  <c:y val="6.4712968571237192E-2"/>
                </c:manualLayout>
              </c:layout>
              <c:showVal val="1"/>
            </c:dLbl>
            <c:dLbl>
              <c:idx val="3"/>
              <c:layout>
                <c:manualLayout>
                  <c:x val="-4.9666035579745589E-2"/>
                  <c:y val="6.8376068376068383E-2"/>
                </c:manualLayout>
              </c:layout>
              <c:showVal val="1"/>
            </c:dLbl>
            <c:dLbl>
              <c:idx val="4"/>
              <c:layout>
                <c:manualLayout>
                  <c:x val="-5.5873923400419523E-2"/>
                  <c:y val="5.433441012181282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105</c:v>
                </c:pt>
                <c:pt idx="1">
                  <c:v>104.6</c:v>
                </c:pt>
                <c:pt idx="2">
                  <c:v>86.5</c:v>
                </c:pt>
                <c:pt idx="3" formatCode="0.0">
                  <c:v>57.3</c:v>
                </c:pt>
                <c:pt idx="4">
                  <c:v>44.7</c:v>
                </c:pt>
                <c:pt idx="5">
                  <c:v>48.6</c:v>
                </c:pt>
              </c:numCache>
            </c:numRef>
          </c:val>
        </c:ser>
        <c:marker val="1"/>
        <c:axId val="83101952"/>
        <c:axId val="85016576"/>
      </c:line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7596305118875894E-2"/>
                  <c:y val="6.8376068376068383E-2"/>
                </c:manualLayout>
              </c:layout>
              <c:showVal val="1"/>
            </c:dLbl>
            <c:dLbl>
              <c:idx val="1"/>
              <c:layout>
                <c:manualLayout>
                  <c:x val="-4.7596468064117776E-2"/>
                  <c:y val="5.9828723332660476E-2"/>
                </c:manualLayout>
              </c:layout>
              <c:showVal val="1"/>
            </c:dLbl>
            <c:dLbl>
              <c:idx val="2"/>
              <c:layout>
                <c:manualLayout>
                  <c:x val="-6.2082137111577783E-3"/>
                  <c:y val="-1.9841269841270166E-2"/>
                </c:manualLayout>
              </c:layout>
              <c:showVal val="1"/>
            </c:dLbl>
            <c:dLbl>
              <c:idx val="3"/>
              <c:layout>
                <c:manualLayout>
                  <c:x val="-3.7249282266946647E-2"/>
                  <c:y val="-6.3492496130292952E-2"/>
                </c:manualLayout>
              </c:layout>
              <c:showVal val="1"/>
            </c:dLbl>
            <c:dLbl>
              <c:idx val="4"/>
              <c:layout>
                <c:manualLayout>
                  <c:x val="-3.9318686837332167E-2"/>
                  <c:y val="-5.5555555555555455E-2"/>
                </c:manualLayout>
              </c:layout>
              <c:showVal val="1"/>
            </c:dLbl>
            <c:dLbl>
              <c:idx val="5"/>
              <c:layout>
                <c:manualLayout>
                  <c:x val="-4.1388091407718271E-2"/>
                  <c:y val="-6.8376068376068383E-2"/>
                </c:manualLayout>
              </c:layout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87.3</c:v>
                </c:pt>
                <c:pt idx="1">
                  <c:v>95.3</c:v>
                </c:pt>
                <c:pt idx="2">
                  <c:v>88.3</c:v>
                </c:pt>
                <c:pt idx="3">
                  <c:v>69.2</c:v>
                </c:pt>
                <c:pt idx="4">
                  <c:v>82.1</c:v>
                </c:pt>
                <c:pt idx="5">
                  <c:v>115.9</c:v>
                </c:pt>
              </c:numCache>
            </c:numRef>
          </c:val>
        </c:ser>
        <c:marker val="1"/>
        <c:axId val="85019648"/>
        <c:axId val="85018112"/>
      </c:lineChart>
      <c:catAx>
        <c:axId val="83101952"/>
        <c:scaling>
          <c:orientation val="minMax"/>
        </c:scaling>
        <c:axPos val="b"/>
        <c:tickLblPos val="nextTo"/>
        <c:crossAx val="85016576"/>
        <c:crosses val="autoZero"/>
        <c:auto val="1"/>
        <c:lblAlgn val="ctr"/>
        <c:lblOffset val="100"/>
      </c:catAx>
      <c:valAx>
        <c:axId val="85016576"/>
        <c:scaling>
          <c:orientation val="minMax"/>
          <c:min val="50"/>
        </c:scaling>
        <c:delete val="1"/>
        <c:axPos val="l"/>
        <c:majorGridlines/>
        <c:numFmt formatCode="General" sourceLinked="1"/>
        <c:tickLblPos val="nextTo"/>
        <c:crossAx val="83101952"/>
        <c:crosses val="autoZero"/>
        <c:crossBetween val="between"/>
        <c:majorUnit val="40"/>
      </c:valAx>
      <c:valAx>
        <c:axId val="85018112"/>
        <c:scaling>
          <c:orientation val="minMax"/>
        </c:scaling>
        <c:axPos val="r"/>
        <c:numFmt formatCode="General" sourceLinked="1"/>
        <c:tickLblPos val="none"/>
        <c:crossAx val="85019648"/>
        <c:crosses val="max"/>
        <c:crossBetween val="between"/>
      </c:valAx>
      <c:catAx>
        <c:axId val="85019648"/>
        <c:scaling>
          <c:orientation val="minMax"/>
        </c:scaling>
        <c:delete val="1"/>
        <c:axPos val="b"/>
        <c:tickLblPos val="nextTo"/>
        <c:crossAx val="8501811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2.9649190300651905E-2"/>
          <c:y val="0.91289870016247965"/>
          <c:w val="0.93045461359963355"/>
          <c:h val="6.3291776027996557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0"/>
      <c:perspective val="0"/>
    </c:view3D>
    <c:plotArea>
      <c:layout>
        <c:manualLayout>
          <c:layoutTarget val="inner"/>
          <c:xMode val="edge"/>
          <c:yMode val="edge"/>
          <c:x val="0.14143208431344653"/>
          <c:y val="5.9610202147234434E-2"/>
          <c:w val="0.75194409057934275"/>
          <c:h val="0.489627982182799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4"/>
          <c:dPt>
            <c:idx val="0"/>
            <c:explosion val="9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Pt>
            <c:idx val="4"/>
            <c:explosion val="1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5"/>
            <c:explosion val="5"/>
            <c:spPr>
              <a:solidFill>
                <a:schemeClr val="accent2"/>
              </a:solidFill>
            </c:spPr>
          </c:dPt>
          <c:dPt>
            <c:idx val="6"/>
            <c:explosion val="8"/>
            <c:spPr>
              <a:solidFill>
                <a:schemeClr val="bg1">
                  <a:lumMod val="75000"/>
                </a:schemeClr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9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10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1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2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3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-1.5197714389196499E-2"/>
                  <c:y val="-1.0403479571788481E-2"/>
                </c:manualLayout>
              </c:layout>
              <c:showVal val="1"/>
            </c:dLbl>
            <c:dLbl>
              <c:idx val="1"/>
              <c:layout>
                <c:manualLayout>
                  <c:x val="-4.0297067567522799E-3"/>
                  <c:y val="-2.6573041545280692E-3"/>
                </c:manualLayout>
              </c:layout>
              <c:showVal val="1"/>
            </c:dLbl>
            <c:dLbl>
              <c:idx val="2"/>
              <c:layout>
                <c:manualLayout>
                  <c:x val="8.3130185514480176E-4"/>
                  <c:y val="-3.3109752063412252E-3"/>
                </c:manualLayout>
              </c:layout>
              <c:showVal val="1"/>
            </c:dLbl>
            <c:dLbl>
              <c:idx val="3"/>
              <c:layout>
                <c:manualLayout>
                  <c:x val="4.1351608109913814E-3"/>
                  <c:y val="-3.9963634282197081E-3"/>
                </c:manualLayout>
              </c:layout>
              <c:showVal val="1"/>
            </c:dLbl>
            <c:dLbl>
              <c:idx val="4"/>
              <c:layout>
                <c:manualLayout>
                  <c:x val="2.0335881223053232E-2"/>
                  <c:y val="3.3041148013396152E-3"/>
                </c:manualLayout>
              </c:layout>
              <c:showVal val="1"/>
            </c:dLbl>
            <c:dLbl>
              <c:idx val="5"/>
              <c:layout>
                <c:manualLayout>
                  <c:x val="-1.6656035376614503E-2"/>
                  <c:y val="7.6250059159955882E-3"/>
                </c:manualLayout>
              </c:layout>
              <c:showVal val="1"/>
            </c:dLbl>
            <c:dLbl>
              <c:idx val="6"/>
              <c:layout>
                <c:manualLayout>
                  <c:x val="1.3490021249084119E-3"/>
                  <c:y val="1.3889642584661918E-2"/>
                </c:manualLayout>
              </c:layout>
              <c:showVal val="1"/>
            </c:dLbl>
            <c:dLbl>
              <c:idx val="7"/>
              <c:layout>
                <c:manualLayout>
                  <c:x val="4.4215246999896934E-3"/>
                  <c:y val="-3.3916309786556002E-3"/>
                </c:manualLayout>
              </c:layout>
              <c:showVal val="1"/>
            </c:dLbl>
            <c:dLbl>
              <c:idx val="8"/>
              <c:layout>
                <c:manualLayout>
                  <c:x val="5.0746772977113674E-3"/>
                  <c:y val="-7.1233542691434785E-3"/>
                </c:manualLayout>
              </c:layout>
              <c:showVal val="1"/>
            </c:dLbl>
            <c:dLbl>
              <c:idx val="9"/>
              <c:layout>
                <c:manualLayout>
                  <c:x val="2.359391833770548E-2"/>
                  <c:y val="-7.7569542992747924E-3"/>
                </c:manualLayout>
              </c:layout>
              <c:showVal val="1"/>
            </c:dLbl>
            <c:dLbl>
              <c:idx val="10"/>
              <c:layout>
                <c:manualLayout>
                  <c:x val="7.54263343618635E-3"/>
                  <c:y val="-9.0852346909521423E-4"/>
                </c:manualLayout>
              </c:layout>
              <c:showVal val="1"/>
            </c:dLbl>
            <c:dLbl>
              <c:idx val="11"/>
              <c:layout>
                <c:manualLayout>
                  <c:x val="-4.3515164587461165E-2"/>
                  <c:y val="6.3457880217629489E-3"/>
                </c:manualLayout>
              </c:layout>
              <c:showVal val="1"/>
            </c:dLbl>
            <c:dLbl>
              <c:idx val="12"/>
              <c:layout>
                <c:manualLayout>
                  <c:x val="-1.6990433311261052E-3"/>
                  <c:y val="1.4250425394154013E-3"/>
                </c:manualLayout>
              </c:layout>
              <c:showVal val="1"/>
            </c:dLbl>
            <c:dLbl>
              <c:idx val="13"/>
              <c:layout>
                <c:manualLayout>
                  <c:x val="2.4525337130906211E-2"/>
                  <c:y val="-4.4275187087940071E-3"/>
                </c:manualLayout>
              </c:layout>
              <c:showVal val="1"/>
            </c:dLbl>
            <c:dLbl>
              <c:idx val="14"/>
              <c:layout>
                <c:manualLayout>
                  <c:x val="2.1072406998910202E-4"/>
                  <c:y val="-2.7709160488633556E-3"/>
                </c:manualLayout>
              </c:layout>
              <c:showVal val="1"/>
            </c:dLbl>
            <c:numFmt formatCode="0.0" sourceLinked="0"/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коммунальные</c:v>
                </c:pt>
                <c:pt idx="5">
                  <c:v>жилищные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ветеринарные</c:v>
                </c:pt>
                <c:pt idx="13">
                  <c:v>юридические</c:v>
                </c:pt>
                <c:pt idx="14">
                  <c:v>системы образования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платные услуги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</c:v>
                </c:pt>
                <c:pt idx="1">
                  <c:v>27.4</c:v>
                </c:pt>
                <c:pt idx="2">
                  <c:v>0.4</c:v>
                </c:pt>
                <c:pt idx="3">
                  <c:v>19.5</c:v>
                </c:pt>
                <c:pt idx="4">
                  <c:v>12.6</c:v>
                </c:pt>
                <c:pt idx="5">
                  <c:v>6.4</c:v>
                </c:pt>
                <c:pt idx="6">
                  <c:v>1.8</c:v>
                </c:pt>
                <c:pt idx="7">
                  <c:v>0.60000000000000064</c:v>
                </c:pt>
                <c:pt idx="8">
                  <c:v>1.5</c:v>
                </c:pt>
                <c:pt idx="9">
                  <c:v>0.9</c:v>
                </c:pt>
                <c:pt idx="10">
                  <c:v>7.5</c:v>
                </c:pt>
                <c:pt idx="11">
                  <c:v>0.1</c:v>
                </c:pt>
                <c:pt idx="12">
                  <c:v>0.1</c:v>
                </c:pt>
                <c:pt idx="13">
                  <c:v>1.4</c:v>
                </c:pt>
                <c:pt idx="14">
                  <c:v>9.2000000000000011</c:v>
                </c:pt>
                <c:pt idx="15">
                  <c:v>0.1</c:v>
                </c:pt>
                <c:pt idx="16">
                  <c:v>5.5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6036009706926081E-2"/>
          <c:y val="0.49288184932907236"/>
          <c:w val="0.96568491948132062"/>
          <c:h val="0.50680320908379761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0.80591</cdr:x>
      <cdr:y>0.03387</cdr:y>
    </cdr:from>
    <cdr:to>
      <cdr:x>0.98069</cdr:x>
      <cdr:y>0.10874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78570" y="111369"/>
          <a:ext cx="949569" cy="246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5</cp:revision>
  <cp:lastPrinted>2020-08-10T07:42:00Z</cp:lastPrinted>
  <dcterms:created xsi:type="dcterms:W3CDTF">2020-08-04T09:08:00Z</dcterms:created>
  <dcterms:modified xsi:type="dcterms:W3CDTF">2020-08-10T07:44:00Z</dcterms:modified>
</cp:coreProperties>
</file>